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18.11.2022, оставленным без изменения постановлением Десятого арбитражного апелляционного суда от 01.02.2023 и постановлением Арбитражного суда Московского округа от 24.04.2023, в удовлетворении заявления отказано. В кассационной жалобе Манин А.В. просит об отмене судебных актов, ссылаясь на нарушение законного срока для подачи заявок.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Суды рассмотрели доводы заявителя и признали их не подтвержденными, а имущество – реализованным в пользу участников, предложивших наивысшую цену. Иная оценка тех же обстоятельств на стадии кассационного пересмотра судебных актов не влечет их пересмотра.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Манину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