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25.08.2022, оставленным без изменения постановлением Пятнадцатого арбитражного апелляционного суда от 31.10.2022 и постановлением Арбитражного суда Северо-Кавказского округа от 13.01.2023, в удовлетворении заявления отказано. В кассационной жалобе ФИО1 просит об отмене судебных актов, ссылаясь на игнорирование различий в заявленных в суде общей юрисдикции и рассматриваемом споре оснований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рамках рассматриваемого спора установили отсутствие условий для признания оспариваемых сделок недействительными согласно законодательству о банкротстве и в силу общегражданских норм. Иная оценка заявителем обстоятельств спора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Последние документы по делу: Определение от 15 августа 2023 г. по делу № А32-36019/2021 Определение от 15 мая 2023 г. по делу № А32-36019/2021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