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 кассационной инстанций норм материального и процессуального права, просит пересмотреть в кассационном порядке постановления названных судов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проанализировав условия заключенного сторонами договора, руководствуясь положениями законодательства, регулирующего спорные правоотношения, 2 суд апелляционной инстанции не усмотрел оснований для взыскания с ответчика (проектировщик) в пользу истца (заказчик) убытков в виде стоимости оплаченных работ, исходя из установленных обстоятельств принятия и использования истцом результата выполненных ответчиком работ без каких-либо возражений, отсутствия доказательств направления истцом ответчику замечаний к результату работ и уведомления о необходимости устранения недостатков. Суд округа поддержал выводы апелляционного суда. Доводы кассационной жалобы не подтверждают существенных нарушений апелляционным и окружным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«Терра Виктория»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