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суда. Определением Арбитражного суда Костромской области от 13.09.2022, оставленным без изменения постановлением Второго арбитражного апелляционного суда от 01.12.2022 и постановлением Арбитражного суда Волго-Вятского округа от 17.05.2023,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