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рассмотрении дела судами трех инстанций учтены действующие в Ростовской области правила возмещения расходов транспортным организациям в связи с предоставлением услуг по перевозке льготных категорий граждан, а также договорные отношения перевозчика с Департаментом транспорта города Ростова-на-Дону.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Ростовской области и муниципальному унитарному предприятию «Ростовская транспортная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"Ростовская транспортная компания" (подробнее) Ответчики: Министерство финансов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