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 Арбитражный суд Костромской области обратился должник с заявлением об исправлении описки в определении суда. Определением Арбитражного суда Костромской области от 13.09.2022, оставленным без изменения постановлением Второго арбитражного апелляционного суда от 01.12.2022 и постановлением Арбитражного суда Волго-Вятского округа от 17.05.2023, в удовлетворении заявления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Не установив наличия в определении суда первой инстанции каких-либо описок, опечаток, препятствующих пониманию принятого судебного акта и требующих исправления в порядке статьи 179 Арбитражного процессуального кодекса Российской Федерации, установив, что заявление должника об исправлении описки направлено на изменение содержания судебного акта, суды отказали в его удовлетворении.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