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принятые по делу судебные акты в части удовлетворения иска и направляя дело в отменной части на новое рассмотрение, суд округа исходил из того, что суды не установили обстоятельства, имеющие значение для правильного разрешения спора, не дали правовую оценку доводам участвующих в деле лиц.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«Вектор»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