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платежа в размере 250 000 рублей, совершённого 27.12.2018 должником в пользу Мезенцева Ивана Игоревича (далее – должник); применении последствий недействительности сделки. Определением Арбитражного суда Московской области от 07.10.2022, оставленным без изменения постановлениями Десятого арбитражного апелляционного суда от 23.01.2023 и Арбитражного суда Московского округа от 19.04.2023,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61.2 Федерального закона от 26.10.2002 № 127-ФЗ «О несостоятельности (банкротстве)», исходили из недоказанности совокупности условий для признания недействительной сделкой оспариваемого платежа по заявленным основаниям (ввиду установленного факта компенсирования конкурной массе последствий оспариваемого платежа удержанием причитавшейся ответчику заработной платы), не установив у него пороков, выходящих за пределы дефектов подозрительной сделки и позволяющих применить положения статей 10 и 168 Гражданского кодекса Российской Федерации.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