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руководствуясь положениями действующего законодательства, 2 регулирующего спорные правоотношения, исходили из недоказанности наличия на стороне ответчика неосновательного обогащения за счет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«Орион»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