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кассационной жалобе, поданной в Верховный Суд Российской Федерации, заявитель, ссылаясь на нарушение судами норм материального и процессуального права, просит пересмотреть в кассационном порядке указанные судебные акты в части отказа в удовлетворении иска.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Разрешая спор в обжалуемой части, суды руководствовались положениями Федерального закона от 26.10.2002 № 127-ФЗ «О несостоятельности (банкротстве)», постановления Правительства Российской Федерации 2 от 28.03.2022 № 497 «О введении моратория на возбуждение дел о банкротстве по заявлениям, подаваемым кредиторами» и, исследовав и оценив представленные в материалы дела доказательства по правилам статьи 71 Арбитражного процессуального кодекса Российской Федерации, исходили из отсутствия оснований для начисления процентов за пользование чужими денежными средствами за период действия моратория. Доводы кассационной жалобы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Управляющая компания «Группа предприятий «МОСТ»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