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30.11.2022, оставленным без изменения постановлением Девятого арбитражного апелляционного суда от 10.02.2023 и постановлением Арбитражного суда Московского округа от 10.04.2023, заявление удовлетворено. В кассационной жалобе Пейкер С.К. просит об отмене судебных актов, ссылаясь на игнорирование основания для прекращения производства по заявлению, неправильную оценку обстоятельств совершения сделки и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обстоятельства, составляющие условия недействительности сделки в силу пункта 2 статьи 61.2 Федерального закона от 26.10.2002 № 127-ФЗ «О несостоятельности (банкротстве)». Прекращение полномочий финансового управляющего в деле о банкротстве должника не влечет прекращения инициированных им мероприятий по формированию конкурсной массы. Срок исковой давности для управляющего определен с момента его осведомленности о состоявшейся сделке.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Пейкеру Сергею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