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09.11.2022, оставленным без изменения постановлением Второго арбитражного апелляционного суда от 20.01.2023 и постановлением Арбитражного суда Волго-Вятского округа от 10.05.2023, процедура реализации имущества должника завершена без освобождения его от исполнения требований перед акционерным обществом «Российский Сельскохозяйственный банк». В кассационной жалобе ФИО1 просит о пересмотре судебных актов вследствие несоответствия выводов судов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образования спорной задолженности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ее погашения. Иная оценка должником своих действий противоречит установленным обстоятельствам и не создает оснований для кассационного пересмотра судебных актов. Руководствуясь статьями,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ЗАГС (подробнее) МИФНС №14 по Кировской области (подробнее) ООО "АЙТИВЕБНЕТ" (подробнее) ООО "БЮРО ВЗЫСКАНИЯ "ПРАВЁЖ" (подробнее) ООО "ГРАНДФИНАНС" (подробнее) ООО МКК "Капитал-К" (подробнее) ООО "Совкомбанк" (подробнее) ПАО "МТС-Банк" (подробнее) ПАО "Сбербанк России"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