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19.10.2022, оставленным без изменения постановлением Девятого арбитражного апелляционного суда от 21.12.2022 и постановлением Арбитражного суда Московского округа от 12.04.2023, неустойка уменьшена и взыскана в размере 450 000 рублей, во взыскании убытков отказано. В кассационной жалобе общество просит об отмене судебных актов, ссылаясь на неправомерный вывод судов об ограничении ответственности перевозчика законной неустойкой.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Основаниями для частичного отклонения требований судом первой инстанции явились несоразмерность начисленной неустойки и недоказанность несения убытков. При таких обстоятельствах требуемое обществом взыскание убытков дополнительно к неустойке противоречит применению судом компетенции на уменьшение ответственности за имевшее место нарушение.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«Промышленный Трейд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