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запросу судьи Верховного Суда Российской Федерации от 21.06.2023 дело истребовано из Арбитражного суда города Москвы.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2 Таких оснований для пересмотра судебных актов по доводам кассационной жалобы, изученным по материалам истребованного дела, не установлено. Отказывая в удовлетворении иска и подтверждая правильность этого вывода, суды, исследовав и оценив представленные в материалы дела доказательства, проанализировав условия заключенного между ответчиком и третьим лицом договора, исходя из установленных конкретных обстоятельств спора, руководствуясь положениями действующего законодательства, регулирующего спорные правоотношения, пришли к выводу об отсутствии на стороне ответчика неосновательного обогащения.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«Юридическое агентство «Робин»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