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Волго-Вятского округа от 03.02.2023, оставленным без изменения определением того же суда от 10.05.2023,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2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