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02.02.2023, оставленным без изменения определением того же суда от 10.05.2023,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2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