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02.02.2023, оставленным без изменения определением того же суда от 10.05.2023,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