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16.01.2023, оставленным без изменения определением того же суда от 02.05.2023,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