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15.11.2022, оставленным без изменения постановлением Двадцатого арбитражного апелляционного суда от 11.02.2023 и постановлением Арбитражного суда Центрального округа от 20.04.2023, завершена процедура реализации имущества гражданина ФИО1; в отношении должника не применены правила об освобождении от исполнения обязательств перед ООО Коммерческий Банк «СПЕЦСЕТЬСТРОЙБАНК»; в остальной части ФИО1 освобожден от дальнейшего исполнения требований иных кредиторов, в том числе требований кредиторов, не заявленных при введении реализации имущества гражданина. Должник обратился в Судебную коллегию по экономическим спорам Верховного Суда Российской Федерации с кассационной жалобой на принятые судебные акты в части отказа в освобождении его от дальнейшего исполнения требований перед банком,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банком в лице конкурсного управляющего – ГК «АСВ» с учетом установленных фактических обстоятельств выбытия из владения должника залогового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КБ "Спецсетьстройбанк2 (подробнее) ООО "Эос" (подробнее) Управление Федеральной налоговой службы по Тульской области (подробнее) Иные лица: МИФНС №9 по Тульской области (подробнее) СРО ААУ "Синергия"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