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29.09.2022, оставленным без изменения постановлением Седьмого арбитражного апелляционного суда от 06.12.2022 и постановлением Арбитражного суда Западно-Сибирского округа от 10.04.2023, заявление должника удовлетворено, определения Арбитражного суда Алтайского края от 06.02.2020 и 27.05.2020 отменены. В кассационной жалобе Громов С.В. просит об отмене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заявленное обстоятельство и признали наличие его влияния на существо определений от 06.02.2020 и 27.05.2020, необходимого в силу пункта 1 части 2 статьи 311 Арбитражного процессуального кодекса Российской Федерации для пересмотра этих судебных актов. Отличная от судебной позиция третьего лица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Громову Станиславу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