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Борисовой Т.И. в Арбитражный суд Новосибирской области обратился финансовый управляющий имуществом должника Басов А.В. с заявлением об исключении из конкурсной массы квартиры. Определением Арбитражного суда Новосибирской области от 05.12.2022, оставленным без изменения постановлением Седьмого арбитражного апелляционного суда от 14.02.2023 и постановлением Арбитражного суда Западно-Сибирского округа от 29.05.2023, заявление удовлетворено, квартира исключена из конкурсной массы должника. Борисова Т.И. и Борисов В.И. обратились в Судебную коллегию Верховного Суда Российской Федерации с кассационными жалобами на принятые судебные акты в части указания основания исключения квартиры из конкурсной массы должника,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Исключая квартиру из конкурсной массы должника, суды исходили из того, что фактическим собственником квартиры является АО «ДОМ.РФ», поскольку квартира принята им в рамках исполнительного производства в счет погашения задолженности с учетом положений статей 69, 89, 91, 92 Федерального закона от 02.10.2007 № 229-ФЗ «Об исполнительном производстве» и статей 56, 57, 58 Федерального закона от 16.07.1998 № 102-ФЗ «Об ипотеке (залоге недвижимости)».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