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Несогласие с выводами судов по результатам оценки представленных доказательств, выраженное в доводах жалобы и направленное, по сути, на переоценку данных доказательств, установление новых обстоятельств по делу, учитывая полномочия Судебной коллегии Верховного Суда Российской Федерации, определенные статьей 29114 Арбитражного процессуального кодекса Российской Федерации, не может служить основанием для отмены либо изменения обжалуемых судебных актов. 2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«СэйфЭко»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