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конкурсный кредитор обратился в суд с жалобой на действия (бездействие) конкурсного управляющего должником ФИО1. Определением Арбитражного суда города Москвы от 11.11.2022, оставленным без изменения постановлениями Девятого арбитражного апелляционного суда от 03.02.2023 и Арбитражного суда Московского округа от 28.04.2023, в удовлетворении жалобы отказано.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суд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20.3 , 20.4 , 60, 145 Федерального закона от 26.10.2002 № 127-ФЗ «О несостоятельности (банкротстве)», исходили из отсутствия документального подтверждения нарушения прав и законных интересов, а также причинения убытков заявителю, должнику и иным кредиторам оспариваемыми действиями (бездействием) конкурсного управляющего, в связи с чем отказали в удовлетворении жалобы. Выводы судов соответствуют нормам права, оснований для переоценки этих выводов не имеется. Доводы заявителя были предметом рассмотрения судов, получили надлежащую правовую оценку, отклонены как несостоятельные с подробным изложением мотивов отклонения и, по сути, направлены на переоценку доказательств, что находится за пределами полномочий Судебной коллегии по экономическим спорам Верховного Суда Российской Федерации.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поданной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АО "ГАЗПРОМ МЕЖРЕГИОНГАЗ НИЖНИЙ НОВГОРОД" (подробнее) ГК АСВ (подробнее) ЗАО "Главиндустриалпроект" (подробнее) ООО "Строительные решения" (подробнее) ПАО АКБ "Российский капитал" (подробнее) Ответчики: ООО "НИ и ПИ "Генплан" (подробнее) Иные лица: АУ СРО "Северная столица" (подробнее) ГК "Агентство по страхованию вкладов" (подробнее) К/У Пушнова Е.С. (подробнее) САУ СРО Дело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