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01.12.2022, оставленным без изменения постановлением Арбитражного суда Волго-Вятского округа от 19.05.2023,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25.05.2022.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