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01.12.2022 реализация имущества Татаринова Б.А. завершена, в отношении должника не применены правила об освобождении от дальнейшего исполнения обязательств. Постановлением Девятого арбитражного апелляционного суда от 21.02.2023 определение суда первой инстанции оставлено без изменения. Арбитражный суд Московского округа постановлением от 29.05.2023 указанные судебные акты отменил и направил дело на новое рассмотрение в Арбитражный суд города Москвы. Татаринов Б.А. обратился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286, 287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