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Удовлетворяя исковые требования и подтверждая правильность этого вывода, суды, исследовав и оценив представленные в материалы дела доказательства, принимая во внимание обстоятельства, установленные 2 вступившим в законную силу судебным актом по другому арбитражному делу, руководствуясь положениями законодательства, регулирующего спорные правоотношения, исходили из недоказанности встречного предоставления ответчиком на сумму перечисленных истцом денежных средств.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«ИПП КУНА»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