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«Гамбит Секьюритиз БК» обратилось в суд с заявлением о включении в реестр требований кредиторов должника (далее – реестр) 523 372 537 рублей 03 копеек. Определением Арбитражного суда города Москвы от 23.12.2021, оставленным без изменения постановлением Девятого арбитражного апелляционного суда от 09.03.2022, в удовлетворении заявления отказано. Постановлением Арбитражного суда Московского округа от 08.06.2022 данные судебные акты отменены, обособленный спор направлен на новое рассмотрение в суд первой инстанции. На новом рассмотрении обособленного спора определением Арбитражного суда города Москвы от 12.10.2022 в удовлетворении заявления отказано. Постановлением Девятого арбитражного апелляционного суда от 31.01.2023, оставленным без изменения постановлением Арбитражного суда Московского округа от 20.04.2023, данное определение от 12.10.2022 отменено. Требование в заявленном размере признано обоснованным и подлежащим удовлетворению в очерёдности, предшествующей распределению ликвидационной квоты.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Конкурсный управляющий настаивает на необходимости оставления в силе определения суда первой инстанции от 12.10.2022, общество 2 – на отмене обжалуемых постановлений судов апелляционной инстанции и округа в части понижения очерёдности удовлетворения заявленного им требования.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руководствуясь статьями 2, 19, 71, 100,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от 29.01.2020, исходили из того, что несмотря на документальное подтверждение факта наличия задолженности, спорное требование направлено на возврат компенсационного финансирования, ранее предоставленного пребывающему в имущественном кризисе должнику и невостребованного в разумный срок, в связи с чем понизили его в очерёдности удовлетворения. Выводы судов апелляционной инстанции и округа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