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01.12.2022, оставленным без изменения постановлением Арбитражного суда Волго-Вятского округа от 17.05.2023,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22.04.2022.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