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17.11.2022, оставленным без изменения постановлением Арбитражного суда Волго-Вятского округа от 19.05.2023,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04.05.2022.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