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конкурный управляющий обратился в суд с заявлением о признании недействительными сделками соглашения об урегулировании взаимных претензий от 18.08.2020 и акта зачёта взаимных требований от 18.08.2020, заключенных между должником и обществом с ограниченной ответственностью «СтройПроектСервис» (далее – общество), применении последствий недействительности сделок в виде взыскания с общества в пользу должника 617 560 рублей 60 копеек. Определением Арбитражного суда Иркутской области от 06.12.2022, оставленным без изменения постановлениями Четвёртого арбитражного апелляционного суда от 10.02.2023 и Арбитражного суда Восточно-Сибирского округа от 02.05.2023, в удовлетворении заявления отказано. В кассационных жалобах, поданных в Верховный Суд Российской Федерации, заявители просят отменить названные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руководствуясь статьёй 410 Гражданского кодекса Российской Федерации, статьями 61.2, 61.3 Федерального закона от 26.10.2002 № 127-ФЗ «О несостоятельности (банкротстве)», исходили из недоказанности совокупности условий для признания недействительными оспариваемых сделок по заявленным основаниям. Выводы судов соответствуют нормам права, оснований для переоценки этих выводов не имеется. Доводы заявителей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