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Отказывая в удовлетворении иска и подтверждая правильность этого вывода, суды, исследовав и оценив представленные в материалы дела доказательства, принимая во внимание обстоятельства, установленные 2 по другим делам, руководствуясь положениями действующего законодательства, регулирующего спорные правоотношения, исходили из недоказанности наличия на стороне ответчика неосновательного обогащения за счет истца.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Ключникова Михаила Викторовича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