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Выраженное в жалобе несогласие с выводами судов, направлено на переоценку представленных в материалы дела доказательств, установление новых обстоятельств по делу, что не относится к полномочиям кассационной инстанции Верховного Суда Российской Федерации.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«Русатом 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