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заявителями жалоб норм материального права не свидетельствует о неправильном применении их судами с учетом установленных обстоятельств дела. Вопреки доводам жалоб судебные акты основаны на правильном применении норм материального и процессуального права, изложенные в них выводы сформулированы по результатам полного и всестороннего 2 исследования юридически значимых обстоятельств дела и надлежащей правовой оценки представленных доказательств.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публично-правовой компании «Единый заказчик в сфере строительства» и Управлению Федерального казначейства по городу Санкт-Петербургу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