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заявителями жалоб норм материального права не свидетельствует о неправильном применении их судами с учетом установленных обстоятельств дела. Вопреки доводам жалоб судебные акты основаны на правильном применении норм материального и процессуального права, изложенные в них выводы сформулированы по результатам полного и всестороннего исследования юридически значимых обстоятельств дела и надлежащей правовой оценки представленных доказательств.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публично-правовой компании «Единый заказчик в сфере строительства» и Управлению Федерального казначейства по городу Санкт-Петербургу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"НС Банк" (подробнее) Публично-правовая компания "Единый заказчик в сфере строительства" (подробнее) Ответчики: ФЕДЕРАЛЬНОЕ ГОСУДАРСТВЕННОЕ КАЗЕННОЕ УЧРЕЖДЕНИЕ "ДИРЕКЦИЯ ПО СТРОИТЕЛЬСТВУ, РЕКОНСТРУКЦИИ И РЕСТАВРАЦИИ ОБЪЕКТОВ КУЛЬТУРЫ" МИНИСТЕРСТВА СТРОИТЕЛЬСТВА И ЖИЛИЩНО-КОММУНАЛЬНОГО ХОЗЯЙСТВА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