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Несогласие с выводами судов по результатам оценки представленных доказательств, выраженное в доводах жалобы и направленное, по сути, на переоценку данных доказательств, установление новых обстоятельств по делу, учитывая полномочия Судебной коллегии Верховного Суда Российской Федерации, определенные статьей 29114 Арбитражного процессуального 2 кодекса Российской Федерации, не может служить основанием для отмены либо изменения обжалуемых судебных актов.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унитарному предприятию городского электрического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