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Несогласие с выводами судов, вытекающее из доводов кассационной жалобы, в силу статьи 29114 Арбитражного процессуального кодекса Российской Федерации не может являться основанием для пересмотра судебных актов Судебной коллегией Верховного Суда Российской Федерации.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«Банк ВТБ»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"А-групп" (подробнее) Ответчики: ПАО Банк ВТБ (подробнее) ПАО Банк ВТБ в лице Оперативного офиса РОО Ульяновский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