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17.11.2017 с Общества в пользу Предпринимателя взыскано 1 461 062 руб. 69 коп. процентов, в удовлетворении остальной части исковых требований отказано. Тринадцатый арбитражный апелляционный суд постановлением от 10.10.2018 изменил решение суда первой инстанции, взыскал с Общества в пользу Предпринимателя 1 461 062 руб. 69 коп. процентов и 860 398 руб. штрафа, отказал в удовлетворении остальной части исковых требований. Постановлением Арбитражного суда Северо-Западного округа от 24.01.2019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права, просит отменить постановления от 10.10.2018, от 24.01.2019 и оставить в силе решение суда первой инстанции от 17.11.2017.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Суд, оценив по правилам статьи 71 Арбитражного процессуального кодекса Российской Федерации представленные в материалы дела доказательства, пришел к выводу о наличии оснований для взыскания с ответчика штрафа в пользу истца, которому участник долевого строительства передал право требования штрафных санкций на основании договора уступки прав. Доводы кассационной жалобы не подтверждают существенных нарушений судами норм материального и процессуального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Тенишев Тимур Рашидович (подробнее) Ответчики: ООО "ЛП" (подробнее) Иные лица: ФНС России Межрайонная инспекция №18 по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