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26.07.2023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17.05.2023 № 310-ЭС23-6920, решение Арбитражного суда Рязанской области от 20.05.2022, постановление Двадцатого арбитражного апелляционного суда от 21.09.2022 и постановление Арбитражного суда Центрального округа от 14.02.2023 по делу № А54-554/2022,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Причины пропуска рассматриваемого срока, приведенные заявителем, к числу уважительных не относятся. В отсутствие уважительных причин пропуска указанного срока ссылка заявителя на не истечение шестимесячного пресекательного срока не может быть принята во внимание.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«Транс-Сервис» о восстановлении пропущенного процессуального срока отказать. Жалобу возвратить заявителю.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