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привлечении к субсидиарной ответственности по обязательствам должника Евсеенкова А.В., Свищева Юрия Геннадьевича, Свищевой Татьяны Васильевны, Алибаева А.Х., Дядюка Александру Васильевичу, Волкова И.Е., Мирабяну Э.О., акционерное общество «СТВ», общество с ограниченной ответственностью «Майнинг Менеджмент». Впоследствии кредитор должника – общество с ограниченной ответственностью «Холсим (Рус) Строительные Материалы» обратился в суд с заявлением о принятии обеспечительных мер в отношении имущества указанных лиц. Определением Арбитражного суда города Москвы от 05.12.2022, оставленным без изменения постановлением Девятого арбитражного апелляционного суда от 02.03.2023, отказано в удовлетворении заявления кредитора о принятии обеспечительных мер. Постановлением Арбитражного суда Московского округа от 05.06.2023 отменены определение суда первой инстанции от 05.12.2022 и постановление апелляционного суда от 02.03.2023. Приняты обеспечительные меры в виде наложения ареста на всё имущество в пределах 83 848 055 рублей 48 копеек, принадлежащее: Евсеенкову А.В., Свищеву Ю.Г., Свищевой Т.В., 2 Алибаеву А.Х., Дядюку А.В., Волкову И.Е., Мирабяну Э.О., акционерному обществу «СТВ», обществу с ограниченной ответственностью «Майнинг Менеджмент»; Федеральной службе государственной регистрации кадастра и картографии и её территориальным подразделениям, органам ГИБДД МВД России, ФНС России и её территориальным подразделениям запрещено производить государственную регистрацию отчуждения или обременения в отношении имущества, принадлежащего указанным лицам на праве собственности. В кассационных жалобах, поданных в Верховный Суд Российской Федерации, заявители просят отменить названное постановление суда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кассационных жалоб и отзывов на них таких оснований не установлено. Отменяя судебные акты и принимая обеспечительные меры, суд округа, руководствуясь положениями статьи 90 Арбитражного процессуального кодекса Российской Федерации, исходил из наличия оснований для удовлетворения заявления, признав, что принятие названных обеспечительных мер соответствует критерию разумности и будет способствовать обеспечению баланса интересов лиц, вовлеченных в процесс банкротства должника. Выводы суда округа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указанного судебного акта, судом округа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