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17.11.2017 с Общества в пользу Предпринимателя взыскано 474 339 руб. 86 коп. процентов, в удовлетворении остальной части исковых требований отказано. Тринадцатый арбитражный апелляционный суд постановлением от 10.10.2018 изменил решение суда первой инстанции, взыскал с Общества в пользу Предпринимателя 474 339 руб. 86 коп. процентов и 659 380 руб. 44 коп. штрафа, отказал в удовлетворении остальной части исковых требований. Постановлением Арбитражного суда Северо-Западного округа от 24.01.2019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постановления от 10.10.2018, от 24.01.2019 и оставить в силе решение суда первой инстанции от 17.11.2017.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Суд, оценив по правилам статьи 71 Арбитражного процессуального кодекса Российской Федерации представленные в материалы дела доказательства, пришел к выводу о наличии оснований для взыскания с ответчика штрафа в пользу истца, которому участник долевого строительства передал право требования штрафных санкций на основании договора уступки прав. Доводы кассационной жалобы не подтверждают существенных нарушений судами норм материального и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Тенишев Тимур Рашидович (подробнее) Ответчики: ООО "ЛП" (подробнее) Иные лица: ФНС России Межрайонная инспекция №18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