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постановления. Определением Второго арбитражного апелляционного суда от 18.11.2022, оставленным без изменения постановлением Арбитражного суда Волго- Вятского округа от 12.05.2023,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