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постановления. Определением Второго арбитражного апелляционного суда от 26.12.2022, оставленным без изменения постановлением Арбитражного суда Волго- Вятского округа от 10.05.2023,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