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постановления. Определением Второго арбитражного апелляционного суда от 26.12.2022, оставленным без изменения постановлением Арбитражного суда Волго- Вятского округа от 12.05.2023,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