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309, 310, 702, 708, 711, 746, 753 2 Гражданского кодекса Российской Федерации, суды пришли к выводу об отсутствии оснований для удовлетворения иска, исходя из недоказанности истцом (подрядчик) факта передачи результата спорных работ ответчику (заказчик) в предусмотренном договором порядке до его расторжения.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«Фирма «СТЭК»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