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20.09.2022, оставленным без изменения постановлением Седьмого арбитражного апелляционного суда от 15.12.2022 и постановлением Арбитражного суда Западно-Сибирского округа от 12.04.2023, в удовлетворении первоначального искового заявления отказано; встречный иск удовлетворен. В кассационной жалобе, поданной в Судебную коллегию по экономическим спорам Верховного Суда Российской Федерации, заявитель просил пересмотреть обжалуемые судебные акты. По смыслу части 1 статьи 2911, части 7 статьи 2916, статьи 29111 Арбитражного процессуального кодекса Российской Федерации (далее -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жалобы не установлено. Отказывая в удовлетворении первоначальных требований и признавая обоснованным встречный иск, суды руководствовались статьями 309 , 310 , 4501, 702 - 729 , 758 - 762 Гражданского кодекса Российской Федерации и исходили из доказанности факт выполнения подрядчиком работ стоимостью, превышающей сумму выплаченного заказчиком аванса, а также потребительской ценности переданного заказчику комплекта документации. Судебные акты не подлежат пересмотру в порядке кассационного производства, если выводы судов основаны на оценке доказательств. Соответственно, доводы жалобы не составляет оснований для пересмотра обжалуемых судебных актов в кассационном порядке. Руководствуясь статьями 2911 - 29115 Кодекса,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«Развитие»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ООО "Развитие" (подробнее) Ответчики: ООО "ЗапСибНИИПроект" (подробнее) Иные лица: ООО "ЭкоГрадЪ" (подробнее) Судьи дела: Золотова Е.Н.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