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ФИО1 обратился в Арбитражный суд города Санкт-Петербурга и Ленинградской области с иском о взыскании с ООО «Деловые линии» 335 000 рублей ущерба. Решением Арбитражного суда города Санкт-Петербурга и Ленинградской области от 30.08.2022, оставленным без изменения постановлением Тринадцатого арбитражного апелляционного суда от 28.12.2022 и постановлением Арбитражного суда Северо-Западного округа от 17.04.2023, в удовлетворении иска отказано.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393 , 801 , 195 - 207 Гражданского кодекса Российской Федерации, Федерального закона от 30.06.2003 № 87-ФЗ «О транспортно-экспедиционной деятельности», суды пришли к выводу об отказе в удовлетворении иска, признав пропущенным срок исковой давности, о применении которой заявлено ответчиком.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Яковлев Александр Юрьевич (подробнее) Ответчики: ООО "Деловые линии" (подробнее) Судьи дела: Зарубина Е.Н. (судья) Судебная практика по: Упущенная выгода Судебная практика по применению норм ст. 15, 393 ГК РФ Взыскание убытков Судебная практика по применению нормы ст. 393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