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 содержания судебных актов следует, что суды, частично удовлетворяя иск, всесторонне исследовали доказательства по делу, установили необходимые для разрешения спора обстоятельства, дали надлежащую правовую оценку 2 доводам заявителя со ссылкой на положения норм действующего законодательства применительно к установленным фактическим обстоятельствам дела. Доводы кассационной жалобы не подтверждают существенных нарушений судами апелляционной и кассационной инстанций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акционерной компании «Алроса»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