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Чувашской Республики – Чувашии от 21.06.2022 в удовлетворении заявления отказано. Первый арбитражный апелляционный суд постановлением от 14.12.2022 отменил определение от 21.06.2022 и заявление удовлетворил. Арбитражный суд Волго-Вятского округа постановлением от 13.04.2023 оставил без изменения постановление апелляционного суда от 14.12.2022. В кассационных жалобах Мангер Н.И. и Митюнин В.Я. просят об отмене судебных актов апелляционного и окружного судов, ссылаясь игнорирование злоупотребления правами должником и его супругой.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 не усматривается. Апелляционный суд установил исполнение поручителем за счет собственных средств обязательства должника в качестве основания для замены кредитора в реестре. Возражения против замены, изложенные в жалобах, были предметом рассмотрения и оценки судов и не составляют оснований для пересмотра судебных актов в порядке кассационного производства.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Мангер Н.И. и финансовому управляющему Митюнину В.Я.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