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31.08.2022 установлено процентное вознаграждение финансового управляющего Саранина А.В. в размере 2 282 490 рублей. Девятый арбитражный апелляционный суд постановлением от 30.01.2023 определение от 31.08.2022 отменил и в удовлетворении заявления отказал. Арбитражный суд Московского округа постановлением от 10.04.2023 оставил без изменения постановление апелляционного суда от 30.01.2023. В кассационной жалобе Саранин А.В. просит об отмене судебных актов апелляционного и окружного судов, ссылаясь на неправильные выводы судов о праве на вознаграждение.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учитывая характер вознаграждения и установление ненадлежащего исполнения финансовым управляющим обязанностей, определил право на вознаграждение по правилам пункта 1 статьи 723 и статьи 783 Гражданского кодекса Российской Федерации. Отличная от судебной оценка заявителем своей деятельности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Саранину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