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31.10.2022, оставленным без изменения постановлением Девятого арбитражного апелляционного суда от 25.01.2023 и постановлением Арбитражного суда Московского округа от 06.04.2023, в удовлетворении заявления отказано. В кассационной жалобе ФИО3 просит об отмене судебных актов, ссылаясь на игнорирование недобросовестности должника и формальный подход к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Недобросовестности должника в отношении представления необходимых сведений суды не установили.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"АРКТИК ДЕВЕЛОПМЕНТ" (подробнее) ООО "ОАЗИС" (подробнее) ООО Управляющая Компания "Метрика" (подробнее) ф/у Эсеньян Г.П. Кафтанатий А.И. (подробнее) Ответчики: Ф/У ЭСЕНЬЯНА Г.П. БЕЛЯЕВА И.А. (подробнее) Иные лица: ГУ МО ГИБДД ТНРЭР №3 МВД России по г. Москве (подробнее) ООО "РАЗРЕЗ ЛЕМБЕРОВСКИЙ" (подробнее) "ЭКСЛЕДЖ" Г. МОСКВЫ (подробнее) Судьи дела: Ксенофонтова Н.А. (судья) Последние документы по делу: Определение от 3 июля 2023 г. по делу № А40-64/2022 Определение от 15 июня 2023 г. по делу № А40-64/2022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